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CE" w:rsidRDefault="001946CE" w:rsidP="001946CE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Решение от 30 октября 2018 года №255 "Об утверждении порядка предоставления инвесторам инвестиционных проектов муниципальных гарантий"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СОБРАНИЕ ДЕПУТАТОВ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КУРСКОЙ ОБЛАСТИ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РЕШЕНИЕ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 30 октября 2018 года №255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Об утверждении порядка предоставления инвесторам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инвестиционных проектов муниципальных гарантий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целях совершенствования инвестиционной политики администрации Дружненского сельсовета Курчатовского района Курской области, руководствуясь ст.ст. 115, 115.2, 117 Бюджетного кодекса Российской Федерации, ст.ст. 14, 35, 37 Федерального закона от 06.10.2003г №131-ФЗ «Об общих принципах </w:t>
      </w:r>
      <w:hyperlink r:id="rId4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организации местного самоуправления</w:t>
        </w:r>
      </w:hyperlink>
      <w:r>
        <w:rPr>
          <w:rFonts w:ascii="Helvetica" w:hAnsi="Helvetica" w:cs="Helvetica"/>
          <w:color w:val="555555"/>
          <w:sz w:val="14"/>
          <w:szCs w:val="14"/>
        </w:rPr>
        <w:t>в Российской Федерации», Федеральным законом от 25.02.1999г №39-ФЗ «Об инвестиционной деятельности в Российской Федерации, осуществляемой в форме </w:t>
      </w:r>
      <w:hyperlink r:id="rId5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капитальных вложений</w:t>
        </w:r>
      </w:hyperlink>
      <w:r>
        <w:rPr>
          <w:rFonts w:ascii="Helvetica" w:hAnsi="Helvetica" w:cs="Helvetica"/>
          <w:color w:val="555555"/>
          <w:sz w:val="14"/>
          <w:szCs w:val="14"/>
        </w:rPr>
        <w:t>», Уставом муниципального образования «Дружненский сельсовет» Курчатовского района Курской области, принимая во внимание представление Курчатовской межрайонной прокуратуры от 19.06.2018 №36-2018 «Об устранении нарушений федерального законодательства», Собрание депутатов Дружненского сельсовета Курчатовского района Курской области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РЕШИЛО</w:t>
      </w:r>
      <w:r>
        <w:rPr>
          <w:rFonts w:ascii="Helvetica" w:hAnsi="Helvetica" w:cs="Helvetica"/>
          <w:color w:val="555555"/>
          <w:sz w:val="14"/>
          <w:szCs w:val="14"/>
        </w:rPr>
        <w:t>: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 Утвердить порядок предоставления инвесторам инвестиционных проектов муниципальных гарантий (Приложение).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2.Обнародовать настоящее решение на официальном сайте муниципального образования в информационно-телекоммуникационной сети Интернет.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Настоящее решение вступает в силу с момента его обнародования.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Контроль за использованием настоящего решения оставляю за собой.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 Собрания депутатов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районаГ.И. Крамарева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Глава Дружненского сельсовета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районаЮ.М. Мяснянкин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Приложение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 решению Собрания депутатов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 Курской области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30 октября 2018 года №255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Порядок предоставления инвесторам инвестиционных проектов муниципальных гарантий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I. Общие положения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 Настоящий порядок предоставления инвесторам инвестиционных проектов муниципальных гарантий (далее - Порядок) определяет механизм предоставления инвесторам инвестиционных проектов муниципальных гарантий, обеспечивающих надлежащее исполнение принципалом его обязательств перед </w:t>
      </w:r>
      <w:hyperlink r:id="rId6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бенефициаром</w:t>
        </w:r>
      </w:hyperlink>
      <w:r>
        <w:rPr>
          <w:rFonts w:ascii="Helvetica" w:hAnsi="Helvetica" w:cs="Helvetica"/>
          <w:color w:val="555555"/>
          <w:sz w:val="14"/>
          <w:szCs w:val="14"/>
        </w:rPr>
        <w:t>(основного обязательства).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В целях настоящего Порядка применяются следующие понятия и термины: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2.1. Бенефициар - лицо, в пользу которого предоставлена муниципальная гарантия;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2.2. Гарант – </w:t>
      </w:r>
      <w:hyperlink r:id="rId7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муниципальное образование</w:t>
        </w:r>
      </w:hyperlink>
      <w:r>
        <w:rPr>
          <w:rFonts w:ascii="Helvetica" w:hAnsi="Helvetica" w:cs="Helvetica"/>
          <w:color w:val="555555"/>
          <w:sz w:val="14"/>
          <w:szCs w:val="14"/>
        </w:rPr>
        <w:t> «Дружненский сельсовет» Курчатовского район, от имени которого выступает Администрация Дружненского сельсовета Курчатовского района;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2.3. Гарантийный случай - факт неисполнения или ненадлежащего исполнения принципалом его обязательства перед бенефициаром;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2.4. Муниципальная гарантия – вид </w:t>
      </w:r>
      <w:hyperlink r:id="rId8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долгового обязательства</w:t>
        </w:r>
      </w:hyperlink>
      <w:r>
        <w:rPr>
          <w:rFonts w:ascii="Helvetica" w:hAnsi="Helvetica" w:cs="Helvetica"/>
          <w:color w:val="555555"/>
          <w:sz w:val="14"/>
          <w:szCs w:val="14"/>
        </w:rPr>
        <w:t>, в силу которого муниципальное образование «Дружненский сельсовет» Курчатовского района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«Дружненский сельсовет» Курчатовского района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2.5. Принципал – лицо, имеющее обязательство перед бенефициаром и являющееся инвестором включенного в реестр инвестиционных проектов муниципального образования «Дружненский сельсовет» Курчатовского района инвестиционного проекта, в отношении которого Комиссией по инвестиционной деятельности Администрации Дружненского сельсовета Курчатовского района (далее – Комиссия) определена муниципальная поддержка в форме муниципальных гарантий;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2.6. Регрессное требование - право требования гаранта к принципалу о возмещении сумм, уплаченных гарантом бенефициару по муниципальной гарантии.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lastRenderedPageBreak/>
        <w:t>3. Предоставление принципалам муниципальных гарантий осуществляется на конкурсной основе.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Организатором конкурса является Администрация Дружненского сельсовета Курчатовского района (далее – Администрация).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Решение о проведении конкурса оформляется постановлением Администрации. В постановлении о проведении конкурса определяется дата проведения конкурса, дата начала и окончания приема заявлений об участии в конкурсе. Информационное извещение о проведении конкурса размещается на официальном сайте Администрации Дружненского сельсовета Курчатовского района не менее чем за 30 дней до начала проведения конкурса. В день конкурса назначается заседание Комиссии.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Информационное извещение содержит сведения о времени, дате начала и окончания приема заявлений об участии в конкурсе, месте и форме конкурса, предмете и порядке его проведения, в т. ч. об оформлении участия в конкурсе, об определении лица, выигравшего конкурс, перечне документов, необходимых для участия в конкурсе, сроке заключения договора о предоставлении муниципальной гарантии.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Муниципальные гарантии предоставляются в пределах общей суммы предоставляемых гарантий, указанной в решении Собрания депутатов Дружненского сельсовета Курчатовского района (далее – Собрание депутатов) о бюджете на очередной финансовый год.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 Муниципальные гарантии с правом </w:t>
      </w:r>
      <w:hyperlink r:id="rId9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регрессного</w:t>
        </w:r>
      </w:hyperlink>
      <w:r>
        <w:rPr>
          <w:rFonts w:ascii="Helvetica" w:hAnsi="Helvetica" w:cs="Helvetica"/>
          <w:color w:val="555555"/>
          <w:sz w:val="14"/>
          <w:szCs w:val="14"/>
        </w:rPr>
        <w:t>требования к принципалу предоставляются при условии обеспечения исполнения обязательства (залог, поручительство) в размере не менее 100% от суммы предоставленной муниципальной гарантии.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Предметом залога может быть всякое имущество, в том числе вещи и </w:t>
      </w:r>
      <w:hyperlink r:id="rId10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имущественные права</w:t>
        </w:r>
      </w:hyperlink>
      <w:r>
        <w:rPr>
          <w:rFonts w:ascii="Helvetica" w:hAnsi="Helvetica" w:cs="Helvetica"/>
          <w:color w:val="555555"/>
          <w:sz w:val="14"/>
          <w:szCs w:val="14"/>
        </w:rPr>
        <w:t>(требования), за исключением имущества, изъятого из оборота, требований, неразрывно связанных с личностью принципала, в частности требований, о возмещении вреда, причиненного жизни или здоровью, и иных прав, уступка которых другому лицу запрещена законом.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Не допускается принятие в качестве обеспечения исполнения обязательств лица, претендующего на получение муниципальной гарантии, поручительств лиц, величина чистых активов которых меньше величины, равной трехкратной сумме предоставляемой муниципальной гарантии.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II. Условия и порядок предоставления муниципальных гарантий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 Предоставление муниципальных гарантий осуществляется при условии: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6.1. Заключения Комиссии о возможности предоставления муниципальной гарантии при проведении анализа финансового состояния принципала;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6.2. Предоставления принципалом соответствующего требованиям п.5 раздела I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какой-либо части гарантии;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6.3. Отсутствия у принципала, его поручителей (гарантов) просроченной задолженности по </w:t>
      </w:r>
      <w:hyperlink r:id="rId11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денежным обязательствам</w:t>
        </w:r>
      </w:hyperlink>
      <w:r>
        <w:rPr>
          <w:rFonts w:ascii="Helvetica" w:hAnsi="Helvetica" w:cs="Helvetica"/>
          <w:color w:val="555555"/>
          <w:sz w:val="14"/>
          <w:szCs w:val="14"/>
        </w:rPr>
        <w:t>перед муниципальным образованием «Дружненский сельсовет» Курчатовского района Курской области, по обязательным платежам в </w:t>
      </w:r>
      <w:hyperlink r:id="rId12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бюджетную систему</w:t>
        </w:r>
      </w:hyperlink>
      <w:r>
        <w:rPr>
          <w:rFonts w:ascii="Helvetica" w:hAnsi="Helvetica" w:cs="Helvetica"/>
          <w:color w:val="555555"/>
          <w:sz w:val="14"/>
          <w:szCs w:val="14"/>
        </w:rPr>
        <w:t>Российской Федерации.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 Для участия в конкурсе принципал представляет в Администрацию заявление в свободной письменной форме на имя Главы Дружненского сельсовета Курчатовского района об участии в конкурсе на предоставление муниципальной поддержки в форме муниципальных гарантий (далее - Заявление) с приложением следующих документов: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7.1. Копии </w:t>
      </w:r>
      <w:hyperlink r:id="rId13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учредительных документов</w:t>
        </w:r>
      </w:hyperlink>
      <w:r>
        <w:rPr>
          <w:rFonts w:ascii="Helvetica" w:hAnsi="Helvetica" w:cs="Helvetica"/>
          <w:color w:val="555555"/>
          <w:sz w:val="14"/>
          <w:szCs w:val="14"/>
        </w:rPr>
        <w:t>(Устав либо </w:t>
      </w:r>
      <w:hyperlink r:id="rId14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учредительный договор</w:t>
        </w:r>
      </w:hyperlink>
      <w:r>
        <w:rPr>
          <w:rFonts w:ascii="Helvetica" w:hAnsi="Helvetica" w:cs="Helvetica"/>
          <w:color w:val="555555"/>
          <w:sz w:val="14"/>
          <w:szCs w:val="14"/>
        </w:rPr>
        <w:t>со всеми изменениями и дополнениями для принципалов, являющихся юридическими лицами). Копия свидетельства о государственной регистрации физического лица в качестве </w:t>
      </w:r>
      <w:hyperlink r:id="rId15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индивидуального предпринимателя</w:t>
        </w:r>
      </w:hyperlink>
      <w:r>
        <w:rPr>
          <w:rFonts w:ascii="Helvetica" w:hAnsi="Helvetica" w:cs="Helvetica"/>
          <w:color w:val="555555"/>
          <w:sz w:val="14"/>
          <w:szCs w:val="14"/>
        </w:rPr>
        <w:t>(для принципалов, являющихся индивидуальными предпринимателями);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7.2. Справка налогового органа о состоянии задолженности по налогам и сборам во все уровни бюджетов, справка территориального органа Пенсионного фонда Российской Федерации о состоянии задолженности по страховым </w:t>
      </w:r>
      <w:hyperlink r:id="rId16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взносам</w:t>
        </w:r>
      </w:hyperlink>
      <w:r>
        <w:rPr>
          <w:rFonts w:ascii="Helvetica" w:hAnsi="Helvetica" w:cs="Helvetica"/>
          <w:color w:val="555555"/>
          <w:sz w:val="14"/>
          <w:szCs w:val="14"/>
        </w:rPr>
        <w:t>, справка территориального органа Фонда социального страхования Российской Федерации о состоянии задолженности по страховым взносам, по состоянию не ранее 30 дней до дня подачи заявления о предоставлении муниципальной гарантии;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7.3. Копия документа, подтверждающего полномочия руководителя на текущий период времени (справка,</w:t>
      </w:r>
      <w:hyperlink r:id="rId17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выписка из протокола</w:t>
        </w:r>
      </w:hyperlink>
      <w:r>
        <w:rPr>
          <w:rFonts w:ascii="Helvetica" w:hAnsi="Helvetica" w:cs="Helvetica"/>
          <w:color w:val="555555"/>
          <w:sz w:val="14"/>
          <w:szCs w:val="14"/>
        </w:rPr>
        <w:t>, приказ о назначении и др.) (для принципалов, являющихся юридическими лицами);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7.4. В свободной форме сведения об имуществе, которое предлагается использовать в обеспечение регрессного требования гаранта к принципалу;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7.5. Копии документов о правах на имущество, являющееся предметом залога;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7.6. Копия заключения независимой </w:t>
      </w:r>
      <w:hyperlink r:id="rId18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оценки объектов</w:t>
        </w:r>
      </w:hyperlink>
      <w:r>
        <w:rPr>
          <w:rFonts w:ascii="Helvetica" w:hAnsi="Helvetica" w:cs="Helvetica"/>
          <w:color w:val="555555"/>
          <w:sz w:val="14"/>
          <w:szCs w:val="14"/>
        </w:rPr>
        <w:t>залогового обеспечения;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7.7. Документы по обеспечению исполнения обязательств (договор о залоге, </w:t>
      </w:r>
      <w:hyperlink r:id="rId19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договор поручительства</w:t>
        </w:r>
      </w:hyperlink>
      <w:r>
        <w:rPr>
          <w:rFonts w:ascii="Helvetica" w:hAnsi="Helvetica" w:cs="Helvetica"/>
          <w:color w:val="555555"/>
          <w:sz w:val="14"/>
          <w:szCs w:val="14"/>
        </w:rPr>
        <w:t>);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7.8. Копия договора (соглашения) между принципалом и бенефициаром, в случае его отсутствия - </w:t>
      </w:r>
      <w:hyperlink r:id="rId20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проект договора</w:t>
        </w:r>
      </w:hyperlink>
      <w:r>
        <w:rPr>
          <w:rFonts w:ascii="Helvetica" w:hAnsi="Helvetica" w:cs="Helvetica"/>
          <w:color w:val="555555"/>
          <w:sz w:val="14"/>
          <w:szCs w:val="14"/>
        </w:rPr>
        <w:t>(соглашения) вместе с письмом контрагента (займодателя) о согласии заключить договор с принципалом при условии выдачи муниципальной гарантии;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7.9. Разрешение принципала на безакцептное списание гарантом со всех счетов принципала суммы </w:t>
      </w:r>
      <w:hyperlink r:id="rId21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денежных средств</w:t>
        </w:r>
      </w:hyperlink>
      <w:r>
        <w:rPr>
          <w:rFonts w:ascii="Helvetica" w:hAnsi="Helvetica" w:cs="Helvetica"/>
          <w:color w:val="555555"/>
          <w:sz w:val="14"/>
          <w:szCs w:val="14"/>
        </w:rPr>
        <w:t>для последующего зачисления в погашение всех расходов (но не более суммы обеспеченной обязательствами принципала) гаранта по предоставлению муниципальной гарантии, заверенное подписью и печатью принципала;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7.10. Документы при применении принципалом общей системы налогообложения: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1) </w:t>
      </w:r>
      <w:hyperlink r:id="rId22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бухгалтерский баланс</w:t>
        </w:r>
      </w:hyperlink>
      <w:r>
        <w:rPr>
          <w:rFonts w:ascii="Helvetica" w:hAnsi="Helvetica" w:cs="Helvetica"/>
          <w:color w:val="555555"/>
          <w:sz w:val="14"/>
          <w:szCs w:val="14"/>
        </w:rPr>
        <w:t>(форма по ОКУД 0710001);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2) отчет о прибылях и убытках (форма по ОКУД 0710002);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3) </w:t>
      </w:r>
      <w:hyperlink r:id="rId23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пояснительную записку</w:t>
        </w:r>
      </w:hyperlink>
      <w:r>
        <w:rPr>
          <w:rFonts w:ascii="Helvetica" w:hAnsi="Helvetica" w:cs="Helvetica"/>
          <w:color w:val="555555"/>
          <w:sz w:val="14"/>
          <w:szCs w:val="14"/>
        </w:rPr>
        <w:t>(для муниципальных бюджетных и автономных учреждений в соответствии с Приказом Минфина «Об утверждении Инструкции о порядке составления, представления годовой, квартальной </w:t>
      </w:r>
      <w:hyperlink r:id="rId24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бухгалтерской отчетности</w:t>
        </w:r>
      </w:hyperlink>
      <w:r>
        <w:rPr>
          <w:rFonts w:ascii="Helvetica" w:hAnsi="Helvetica" w:cs="Helvetica"/>
          <w:color w:val="555555"/>
          <w:sz w:val="14"/>
          <w:szCs w:val="14"/>
        </w:rPr>
        <w:t>государственных (муниципальных) бюджетных и автономных учреждений», для остальных – примерная форма);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4) расшифровку дебиторской и </w:t>
      </w:r>
      <w:hyperlink r:id="rId25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кредиторской задолженности</w:t>
        </w:r>
      </w:hyperlink>
      <w:r>
        <w:rPr>
          <w:rFonts w:ascii="Helvetica" w:hAnsi="Helvetica" w:cs="Helvetica"/>
          <w:color w:val="555555"/>
          <w:sz w:val="14"/>
          <w:szCs w:val="14"/>
        </w:rPr>
        <w:t>по бухгалтерскому балансу (по каждому виду задолженности) с указанием наиболее крупных дебиторов и кредиторов (более 5 % от общей суммы задолженности) и дат возникновения задолженности;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lastRenderedPageBreak/>
        <w:t>5) информацию о целевом использовании средств бюджета муниципального образования «Дружненский сельсовет» Курчатовского района, полученных за последние два года (при условии, что таковые были);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6) аудиторские заключения о достоверности бухгалтерской отчетности принципала (для юридических лиц, которые в соответствии с </w:t>
      </w:r>
      <w:hyperlink r:id="rId26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законодательством Российской Федерации</w:t>
        </w:r>
      </w:hyperlink>
      <w:r>
        <w:rPr>
          <w:rFonts w:ascii="Helvetica" w:hAnsi="Helvetica" w:cs="Helvetica"/>
          <w:color w:val="555555"/>
          <w:sz w:val="14"/>
          <w:szCs w:val="14"/>
        </w:rPr>
        <w:t>должны проходить ежегодную аудиторскую проверку).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Документы, указанные в абзацах 2-5 подпункта 7.10. настоящего пункта, предоставляются за предшествующий год,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7.11. Документы при применении принципалом специального налогового режима: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1) копии налоговых деклараций за два последних завершенных финансовых года (при наличии таковых), предшествующих дате подачи заявления на получение муниципальной гарантии.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7.12. В случае если обеспечением исполнения обязательств принципала является поручительство третьего лица, дополнительно предоставляется письменное подтверждение поручителя, документы поручителя согласно подпунктам пункта 7 раздела II настоящего Порядка, а также копии бухгалтерского баланса и отчета о прибылях и убытках на последнюю отчетную дату с отметками налогового органа об их принятии (копия заключения независимой оценки чистых активов поручителя для организаций, применяющих специальные налоговые режимы).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8. Бухгалтерский баланс, отчет о прибылях и убытках, копии налоговых деклараций для организаций и индивидуальных предпринимателей, применяющих общую систему налогообложения, предоставляются с отметкой о приеме территориального органа федеральной налоговой службы. При сдаче бухгалтерской отчетности в электронном виде принципал обязан представить квитанцию, подтверждающую прием бухгалтерской отчетности налоговыми органами, заверенную электронной подписью. При сдаче бухгалтерской отчетности через почтовое отделение принципал обязан представить копию письма с описью вложения.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9. Копии документов, представляемых принципалом, являющимся юридическим лицом, заверяются подписью руководителя и печатью организации. Копии документов, представляемых принципалом, являющимся индивидуальным предпринимателем заверяются подписью и печатью (в случае её наличия) индивидуального предпринимателя.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10. Перечисленные в п.7 раздела II настоящего Порядка документы предоставляются принципалом в виде машинописного текста.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11. В срок, указанный в информационном извещении о проведении конкурса, принципал подает в Администрацию Заявление с приложением документов, указанных в п.7 раздела II настоящего Порядка. Администрация регистрирует Заявление с приложением документов в день его поступления и выдает принципалу расписку с указанием перечня принятых документов, даты их принятия, а также фамилии, имени, отчества и должности лица, принявшего документы.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Заявления, поступившие после истечения срока, указанного в информационном извещении о проведении конкурса не принимаются.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12. Администрация в течение 5 рабочих дней со дня окончания приема Заявления с приложением документов, указанных в п.7 настоящего Порядка (далее - Документы):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осуществляет проверку принципала на соответствие требованиям, установленным п.п.6.2, 6.3 п.6, п.п.7-10 настоящего Порядка, подготавливает информацию для Комиссии о соответствии либо несоответствии принципала указанным требованиям и передает информацию и Документы для рассмотрения на заседании Комиссии;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передает специалисту по финансовым вопросам необходимые для проведения анализа финансового состояния принципала Документы, указанные в п.п.7.2, 7.10, 7.11 настоящего Порядка, с сопроводительным письмом.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13. Специалист по финансовым вопросам в установленном им порядке в течение 10 рабочих дней с момента регистрации сопроводительного письма с приложением документов проводит анализ финансового состояния принципала в целях предоставления муниципальной гарантии, подготавливает письменное заключение о возможности (или нецелесообразности) предоставления муниципальной гарантии и передает его для рассмотрения на заседании Комиссии.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14. Заседание Комиссии проходит в течение 20 дней после поступления информации и документов, указанных в п.п.12, 13 настоящего Порядка.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Решение о предоставлении (об отказе в предоставлении) муниципальной поддержки в форме муниципальных гарантий принимается в день заседания Комиссии.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15. Конкурс считается состоявшимся, при участии двух и более принципалов.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16. Победителем конкурса считается только один принципал, соответствующий требованиям п.п.6-10 раздела II настоящего Порядка и набравший наиболее высокое значение общей эффективности инвестиционного проекта. Оценка общей эффективности инвестиционного проекта проводится в соответствии с постановлением Администрации Дружненского сельсовета Курчатовского района от 20 июля 2016 года №74 «О Порядке проведения проверки инвестиционных проектов на предмет эффективности использования средств бюджета муниципального образования «Дружненский сельсовет» Курчатовского района Курской области, направляемых на капитальные вложения» (далее - ОЭ).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17. Итоги конкурса отражаются в </w:t>
      </w:r>
      <w:hyperlink r:id="rId27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протоколе заседания</w:t>
        </w:r>
      </w:hyperlink>
      <w:r>
        <w:rPr>
          <w:rFonts w:ascii="Helvetica" w:hAnsi="Helvetica" w:cs="Helvetica"/>
          <w:color w:val="555555"/>
          <w:sz w:val="14"/>
          <w:szCs w:val="14"/>
        </w:rPr>
        <w:t>Комиссии, который подписывается председателем либо лицом, его замещающим, и секретарем Комиссии.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Информация о результатах конкурса размещается в 2-недельный срок с момента подведения итогов конкурса на официальном сайте Администрации в информационно-телекоммуникационной сети «Интернет».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18. О принятом Комиссией решении Администрация информирует принципала письменно (заказным письмом с уведомлением о вручении либо лично под роспись) в течение 5 рабочих дней после принятия решения о предоставлении (об отказе в предоставлении) муниципальной поддержки. В случае принятия Комиссией решения об отказе в предоставлении муниципальной поддержки в письменном ответе принципалу приводится обоснование причин отказа в предоставлении муниципальной поддержки.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19. Основаниями для отказа в предоставлении муниципальной поддержки в форме муниципальных гарантий являются: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несоответствие принципала требованиям п.п.6-10 раздела II настоящего Порядка;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lastRenderedPageBreak/>
        <w:t>- заключение о нецелесообразности предоставления принципалу муниципальной гарантии;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меньшее или отрицательное значение ОЭ.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20. Муниципальный правовой акт о предоставлении принципалу муниципальной поддержки в форме муниципальной гарантии подписывается Главой Дружненского сельсовета Курчатовского района в течение одного месяца с момента утверждения решения Собрания депутатов Дружненского сельсовета Курчатовского района о бюджете на очередной финансовый год и плановый период при наличии предусмотренных бюджетом сельского поселения расходов, необходимых для предоставления принципалу муниципальных гарантий, в указанном решении.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Расходы на осуществление инвестиционного проекта включаются в бюджет поселения в соответствии с установленным муниципальным </w:t>
      </w:r>
      <w:hyperlink r:id="rId28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правовым актом</w:t>
        </w:r>
      </w:hyperlink>
      <w:r>
        <w:rPr>
          <w:rFonts w:ascii="Helvetica" w:hAnsi="Helvetica" w:cs="Helvetica"/>
          <w:color w:val="555555"/>
          <w:sz w:val="14"/>
          <w:szCs w:val="14"/>
        </w:rPr>
        <w:t> на осуществление нового инвестиционного проекта с учетом эксплуатационных расходов будущих периодов.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21. Подготовка проекта договора о предоставлении муниципальной гарантии, проектов </w:t>
      </w:r>
      <w:hyperlink r:id="rId29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договоров залога</w:t>
        </w:r>
      </w:hyperlink>
      <w:r>
        <w:rPr>
          <w:rFonts w:ascii="Helvetica" w:hAnsi="Helvetica" w:cs="Helvetica"/>
          <w:color w:val="555555"/>
          <w:sz w:val="14"/>
          <w:szCs w:val="14"/>
        </w:rPr>
        <w:t>и (или) поручительства и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осуществляется Администрацией на основании муниципального правового акта Дружненского сельсовета о предоставлении принципалу муниципальной гарантии.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Гарант заключает с победителем конкурса договор о предоставлении гарантии,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не позднее двадцати дней или иного указанного в извещении срока после завершения конкурса и оформления протокола.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22. Основаниями для </w:t>
      </w:r>
      <w:hyperlink r:id="rId30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досрочного прекращения договора</w:t>
        </w:r>
      </w:hyperlink>
      <w:r>
        <w:rPr>
          <w:rFonts w:ascii="Helvetica" w:hAnsi="Helvetica" w:cs="Helvetica"/>
          <w:color w:val="555555"/>
          <w:sz w:val="14"/>
          <w:szCs w:val="14"/>
        </w:rPr>
        <w:t>о предоставлении муниципальной гарантии являются следующие случаи: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установлены факты нецелевого использования (неиспользования) выделенных бюджетных средств;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при осуществлении мониторинга хода реализации инвестиционного проекта выявлены недостоверные сведения об инвестиционном проекте;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уменьшены объемы софинансирования по сравнению с ранее запланированными объемами, приводящие к недостижению целей инвестиционного проекта;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в отношении принципала проводятся процедуры банкротства или ликвидации;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принципалом более двух раз в период реализации инвестиционного проекта допущена неуплата налогов, сборов в федеральный, областной и (или) </w:t>
      </w:r>
      <w:hyperlink r:id="rId31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местный бюджеты</w:t>
        </w:r>
      </w:hyperlink>
      <w:r>
        <w:rPr>
          <w:rFonts w:ascii="Helvetica" w:hAnsi="Helvetica" w:cs="Helvetica"/>
          <w:color w:val="555555"/>
          <w:sz w:val="14"/>
          <w:szCs w:val="14"/>
        </w:rPr>
        <w:t>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Федерации, а также утвержденных в установленном порядке стандартов (норм и правил), связанных с реализацией инвестиционного проекта;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реализация инвестиционного проекта идет с отклонением более 30% от его параметров, включая показатель ОЭ, на основе оценки которых принималось решение об оказании муниципальной поддержки;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принципал не соблюдает своих обязательств по реализации инвестиционного проекта, предусмотренных договором.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III. Заключительные положения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23.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такой гарантии учитывается в </w:t>
      </w:r>
      <w:hyperlink r:id="rId32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источниках финансирования</w:t>
        </w:r>
      </w:hyperlink>
      <w:hyperlink r:id="rId33" w:history="1">
        <w:r>
          <w:rPr>
            <w:rStyle w:val="a5"/>
            <w:rFonts w:ascii="Helvetica" w:hAnsi="Helvetica" w:cs="Helvetica"/>
            <w:color w:val="337AB7"/>
            <w:sz w:val="14"/>
            <w:szCs w:val="14"/>
            <w:u w:val="none"/>
          </w:rPr>
          <w:t>дефицита бюджета</w:t>
        </w:r>
      </w:hyperlink>
      <w:r>
        <w:rPr>
          <w:rFonts w:ascii="Helvetica" w:hAnsi="Helvetica" w:cs="Helvetica"/>
          <w:color w:val="555555"/>
          <w:sz w:val="14"/>
          <w:szCs w:val="14"/>
        </w:rPr>
        <w:t> муниципального образования «Дружненский сельсовет» Курчатовского района.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бюджета муниципального образования «Дружненский сельсовет» Курчатовского района.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Средства, полученные гарантом в счет возмещения гаранту в порядке регресса сумм, уплаченных им во исполнение (частичное исполнение) обязательств по гарантии, а также в счет исполнения обязательств, права требования, по которым перешли от бенефициара к гаранту, отражаются как возврат бюджетных кредитов.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1946CE" w:rsidRDefault="001946CE" w:rsidP="001946C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24. Предоставление и исполнение муниципальных гарантий подлежит отражению в муниципальной долговой книге.</w:t>
      </w:r>
    </w:p>
    <w:p w:rsidR="001946CE" w:rsidRDefault="001946CE" w:rsidP="001946CE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Администрация ведет учет выданных муниципальных гарантий (учет осуществления гарантом платежей по выданным гарантиям) путем формирования реестра, вносит в реестр сведения о предоставленных гарантиях и о платежах по ранее предоставленным гарантиям.</w:t>
      </w:r>
    </w:p>
    <w:p w:rsidR="00A25223" w:rsidRPr="001946CE" w:rsidRDefault="00A25223" w:rsidP="001946CE"/>
    <w:sectPr w:rsidR="00A25223" w:rsidRPr="001946C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C6B16"/>
    <w:rsid w:val="001946CE"/>
    <w:rsid w:val="001C6B16"/>
    <w:rsid w:val="0028789D"/>
    <w:rsid w:val="00630F6C"/>
    <w:rsid w:val="008525F2"/>
    <w:rsid w:val="009D789F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C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B16"/>
    <w:rPr>
      <w:b/>
      <w:bCs/>
    </w:rPr>
  </w:style>
  <w:style w:type="character" w:styleId="a5">
    <w:name w:val="Hyperlink"/>
    <w:basedOn w:val="a0"/>
    <w:uiPriority w:val="99"/>
    <w:semiHidden/>
    <w:unhideWhenUsed/>
    <w:rsid w:val="001946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lgovoe_obyazatelmzstvo/" TargetMode="External"/><Relationship Id="rId13" Type="http://schemas.openxmlformats.org/officeDocument/2006/relationships/hyperlink" Target="http://pandia.ru/text/category/dokumenti_uchreditelmznie/" TargetMode="External"/><Relationship Id="rId18" Type="http://schemas.openxmlformats.org/officeDocument/2006/relationships/hyperlink" Target="http://pandia.ru/text/category/otcenochnaya_deyatelmznostmz/" TargetMode="External"/><Relationship Id="rId26" Type="http://schemas.openxmlformats.org/officeDocument/2006/relationships/hyperlink" Target="http://pandia.ru/text/category/zakoni_v_ross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denezhnie_sredstva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andia.ru/text/category/munitcipalmznie_obrazovaniya/" TargetMode="External"/><Relationship Id="rId12" Type="http://schemas.openxmlformats.org/officeDocument/2006/relationships/hyperlink" Target="http://pandia.ru/text/category/byudzhetnaya_sistema/" TargetMode="External"/><Relationship Id="rId17" Type="http://schemas.openxmlformats.org/officeDocument/2006/relationships/hyperlink" Target="http://pandia.ru/text/category/vipiski_iz_protokolov/" TargetMode="External"/><Relationship Id="rId25" Type="http://schemas.openxmlformats.org/officeDocument/2006/relationships/hyperlink" Target="http://pandia.ru/text/category/zadolzhennostmz_kreditorskaya/" TargetMode="External"/><Relationship Id="rId33" Type="http://schemas.openxmlformats.org/officeDocument/2006/relationships/hyperlink" Target="http://pandia.ru/text/category/byudzhetnij_defitc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vznos/" TargetMode="External"/><Relationship Id="rId20" Type="http://schemas.openxmlformats.org/officeDocument/2006/relationships/hyperlink" Target="http://pandia.ru/text/category/proekti_dogovorov/" TargetMode="External"/><Relationship Id="rId29" Type="http://schemas.openxmlformats.org/officeDocument/2006/relationships/hyperlink" Target="http://pandia.ru/text/category/dogovora_zaloga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enefitciar/" TargetMode="External"/><Relationship Id="rId11" Type="http://schemas.openxmlformats.org/officeDocument/2006/relationships/hyperlink" Target="http://pandia.ru/text/category/denezhnoe_obyazatelmzstvo/" TargetMode="External"/><Relationship Id="rId24" Type="http://schemas.openxmlformats.org/officeDocument/2006/relationships/hyperlink" Target="http://pandia.ru/text/category/buhgalterskaya_otchetnostmz/" TargetMode="External"/><Relationship Id="rId32" Type="http://schemas.openxmlformats.org/officeDocument/2006/relationships/hyperlink" Target="http://pandia.ru/text/category/istochniki_finansirovaniya/" TargetMode="External"/><Relationship Id="rId5" Type="http://schemas.openxmlformats.org/officeDocument/2006/relationships/hyperlink" Target="http://pandia.ru/text/category/vlozhennij_kapital/" TargetMode="Externa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://pandia.ru/text/category/poyasnitelmznie_zapiski/" TargetMode="External"/><Relationship Id="rId28" Type="http://schemas.openxmlformats.org/officeDocument/2006/relationships/hyperlink" Target="http://pandia.ru/text/category/pravovie_akti/" TargetMode="External"/><Relationship Id="rId10" Type="http://schemas.openxmlformats.org/officeDocument/2006/relationships/hyperlink" Target="http://pandia.ru/text/category/imushestvennoe_pravo/" TargetMode="External"/><Relationship Id="rId19" Type="http://schemas.openxmlformats.org/officeDocument/2006/relationships/hyperlink" Target="http://pandia.ru/text/category/dogovora_poruchitelmzstva/" TargetMode="External"/><Relationship Id="rId31" Type="http://schemas.openxmlformats.org/officeDocument/2006/relationships/hyperlink" Target="http://pandia.ru/text/category/byudzhet_mestnij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regressiya/" TargetMode="External"/><Relationship Id="rId14" Type="http://schemas.openxmlformats.org/officeDocument/2006/relationships/hyperlink" Target="http://pandia.ru/text/category/dogovor_uchreditelmznij/" TargetMode="External"/><Relationship Id="rId22" Type="http://schemas.openxmlformats.org/officeDocument/2006/relationships/hyperlink" Target="http://pandia.ru/text/category/balans_buhgalterskij/" TargetMode="External"/><Relationship Id="rId27" Type="http://schemas.openxmlformats.org/officeDocument/2006/relationships/hyperlink" Target="http://pandia.ru/text/category/protokoli_zasedanij/" TargetMode="External"/><Relationship Id="rId30" Type="http://schemas.openxmlformats.org/officeDocument/2006/relationships/hyperlink" Target="http://pandia.ru/text/category/dosrochnoe_prekrashenie_dogovora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3401</Words>
  <Characters>19387</Characters>
  <Application>Microsoft Office Word</Application>
  <DocSecurity>0</DocSecurity>
  <Lines>161</Lines>
  <Paragraphs>45</Paragraphs>
  <ScaleCrop>false</ScaleCrop>
  <Company/>
  <LinksUpToDate>false</LinksUpToDate>
  <CharactersWithSpaces>22743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2023-05-29T18:09:00Z</dcterms:created>
  <dcterms:modified xsi:type="dcterms:W3CDTF">2023-05-29T18:09:00Z</dcterms:modified>
</cp:coreProperties>
</file>